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333333"/>
          <w:sz w:val="56"/>
        </w:rPr>
        <w:t>MW30L</w:t>
      </w:r>
    </w:p>
    <w:p>
      <w:pPr>
        <w:jc w:val="center"/>
      </w:pPr>
      <w:r>
        <w:rPr>
          <w:b/>
          <w:color w:val="E87A00"/>
          <w:sz w:val="32"/>
        </w:rPr>
        <w:t>Regulador de potência SCR trifásico inteligente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40000" cy="290006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duct_photo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29000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Calibri" w:hAnsi="Calibri"/>
          <w:color w:val="E87A00"/>
        </w:rPr>
        <w:t>Visão geral do produto</w:t>
      </w:r>
    </w:p>
    <w:p>
      <w:pPr>
        <w:spacing w:after="80"/>
      </w:pPr>
      <w:r>
        <w:rPr>
          <w:b w:val="0"/>
          <w:sz w:val="20"/>
        </w:rPr>
        <w:t>O MW30L é um regulador de potência SCR (tiristor) trifásico projetado para o controle preciso e confiável da energia elétrica fornecida a cargas resistivas e indutivas em aplicações industriais de aquecimento e de processo. Construído em torno de um microprocessador de alto desempenho e baixo consumo de energia, o regulador combina o controle preciso de potência por ângulo de fase e por disparo em rajadas (burst-firing) com proteção abrangente, interfaces de sinal flexíveis e comunicação Modbus-RTU de nível industrial, tudo em um invólucro compacto e leve, possibilitado por um projeto de dissipação de calor de alta eficiência.</w:t>
      </w:r>
    </w:p>
    <w:p>
      <w:pPr>
        <w:spacing w:after="80"/>
      </w:pPr>
      <w:r>
        <w:rPr>
          <w:b/>
          <w:color w:val="E87A00"/>
          <w:sz w:val="22"/>
        </w:rPr>
        <w:t>Especificações Técnicas</w:t>
      </w:r>
    </w:p>
    <w:p>
      <w:pPr>
        <w:pStyle w:val="Heading1"/>
      </w:pPr>
      <w:r>
        <w:rPr>
          <w:rFonts w:ascii="Calibri" w:hAnsi="Calibri"/>
          <w:color w:val="E87A00"/>
        </w:rPr>
        <w:t>1. Características principais</w:t>
      </w:r>
    </w:p>
    <w:p>
      <w:pPr>
        <w:pStyle w:val="ListBullet"/>
        <w:spacing w:after="40"/>
      </w:pPr>
      <w:r>
        <w:rPr>
          <w:sz w:val="20"/>
        </w:rPr>
        <w:t>Regulador de potência trifásico, com detecção automática de fase</w:t>
      </w:r>
    </w:p>
    <w:p>
      <w:pPr>
        <w:pStyle w:val="ListBullet"/>
        <w:spacing w:after="40"/>
      </w:pPr>
      <w:r>
        <w:rPr>
          <w:sz w:val="20"/>
        </w:rPr>
        <w:t>Controle de rampa de partida suave/parada suave (0–120 segundos, programável)</w:t>
      </w:r>
    </w:p>
    <w:p>
      <w:pPr>
        <w:pStyle w:val="ListBullet"/>
        <w:spacing w:after="40"/>
      </w:pPr>
      <w:r>
        <w:rPr>
          <w:sz w:val="20"/>
        </w:rPr>
        <w:t>Funciona com carga resistiva e carga indutiva, aquecedores e transformadores, etc.</w:t>
      </w:r>
    </w:p>
    <w:p>
      <w:pPr>
        <w:pStyle w:val="ListBullet"/>
        <w:spacing w:after="40"/>
      </w:pPr>
      <w:r>
        <w:rPr>
          <w:sz w:val="20"/>
        </w:rPr>
        <w:t>Dissipador de calor e ventiladores integrados com detecção de temperatura</w:t>
      </w:r>
    </w:p>
    <w:p>
      <w:pPr>
        <w:pStyle w:val="ListBullet"/>
        <w:spacing w:after="40"/>
      </w:pPr>
      <w:r>
        <w:rPr>
          <w:sz w:val="20"/>
        </w:rPr>
        <w:t>Saída máxima e mínima configuráveis</w:t>
      </w:r>
    </w:p>
    <w:p>
      <w:pPr>
        <w:pStyle w:val="ListBullet"/>
        <w:spacing w:after="40"/>
      </w:pPr>
      <w:r>
        <w:rPr>
          <w:sz w:val="20"/>
        </w:rPr>
        <w:t>Tensão nominal de carga de 260~440 Vca, 50/60 Hz</w:t>
      </w:r>
    </w:p>
    <w:p>
      <w:pPr>
        <w:pStyle w:val="ListBullet"/>
        <w:spacing w:after="40"/>
      </w:pPr>
      <w:r>
        <w:rPr>
          <w:sz w:val="20"/>
        </w:rPr>
        <w:t>A alimentação para o funcionamento do SCR é de 220 Vca</w:t>
      </w:r>
    </w:p>
    <w:p>
      <w:pPr>
        <w:pStyle w:val="ListBullet"/>
        <w:spacing w:after="40"/>
      </w:pPr>
      <w:r>
        <w:rPr>
          <w:sz w:val="20"/>
        </w:rPr>
        <w:t>Entrada: 0–10 Vcc, 0–5 Vcc, 4–20 mA, 0–20 mA, potenciômetro (configurável em campo)</w:t>
      </w:r>
    </w:p>
    <w:p>
      <w:pPr>
        <w:pStyle w:val="ListBullet"/>
        <w:spacing w:after="40"/>
      </w:pPr>
      <w:r>
        <w:rPr>
          <w:sz w:val="20"/>
        </w:rPr>
        <w:t>Corrente nominal desde 25 ampères até 350 ampères</w:t>
      </w:r>
    </w:p>
    <w:p>
      <w:pPr>
        <w:pStyle w:val="ListBullet"/>
        <w:spacing w:after="40"/>
      </w:pPr>
      <w:r>
        <w:rPr>
          <w:sz w:val="20"/>
        </w:rPr>
        <w:t>Comunicação Modbus RS-485 como recurso padrão</w:t>
      </w:r>
    </w:p>
    <w:p>
      <w:pPr>
        <w:pStyle w:val="ListBullet"/>
        <w:spacing w:after="40"/>
      </w:pPr>
      <w:r>
        <w:rPr>
          <w:sz w:val="20"/>
        </w:rPr>
        <w:t>Compatível com ligações Delta (triângulo), Estrela, Estrela com fio neutro e todos os tipos de circuitos elétricos</w:t>
      </w:r>
    </w:p>
    <w:p>
      <w:pPr>
        <w:pStyle w:val="ListBullet"/>
        <w:spacing w:after="40"/>
      </w:pPr>
      <w:r>
        <w:rPr>
          <w:sz w:val="20"/>
        </w:rPr>
        <w:t>Funciona com entradas digitais e entradas analógicas</w:t>
      </w:r>
    </w:p>
    <w:p>
      <w:pPr>
        <w:pStyle w:val="ListBullet"/>
        <w:spacing w:after="40"/>
      </w:pPr>
      <w:r>
        <w:rPr>
          <w:sz w:val="20"/>
        </w:rPr>
        <w:t>Esta unidade apresenta um projeto compacto e leve; o SCR pode suportar corrente de fase de até 90% da corrente nominal — por exemplo, um SCR de 100 ampères da nossa linha pode operar uma carga com corrente de fase de 90 ampères</w:t>
      </w:r>
    </w:p>
    <w:p>
      <w:pPr>
        <w:pStyle w:val="ListBullet"/>
        <w:spacing w:after="40"/>
      </w:pPr>
      <w:r>
        <w:rPr>
          <w:sz w:val="20"/>
        </w:rPr>
        <w:t>Três modos de controle selecionáveis: o usuário pode escolher ângulo de fase em malha fechada, ângulo de fase em malha aberta ou modo de disparo em rajadas (burst-firing), adequando o regulador a aquecedores resistivos, elementos infravermelhos e cargas acopladas por transformador</w:t>
      </w:r>
    </w:p>
    <w:p>
      <w:pPr>
        <w:pStyle w:val="ListBullet"/>
        <w:spacing w:after="40"/>
      </w:pPr>
      <w:r>
        <w:rPr>
          <w:sz w:val="20"/>
        </w:rPr>
        <w:t>Duas entradas digitais: uma para dar partida/parar o SCR externamente, outra para alternar entre diferentes entradas; um potenciômetro também pode ser conectado externamente para controlar manualmente a saída</w:t>
      </w:r>
    </w:p>
    <w:p>
      <w:pPr>
        <w:pStyle w:val="ListBullet"/>
        <w:spacing w:after="40"/>
      </w:pPr>
      <w:r>
        <w:rPr>
          <w:sz w:val="20"/>
        </w:rPr>
        <w:t>Duas entradas digitais: uma para dar partida/parar o SCR externamente, outra para alternar entre diferentes entradas; um potenciômetro também pode ser conectado externamente para controlar manualmente a saída</w:t>
      </w:r>
    </w:p>
    <w:p>
      <w:pPr>
        <w:pStyle w:val="ListBullet"/>
        <w:spacing w:after="40"/>
      </w:pPr>
      <w:r>
        <w:rPr>
          <w:sz w:val="20"/>
        </w:rPr>
        <w:t>Diversos mecanismos de proteção com alarme integrado: perda de fase, superaquecimento, sobrecorrente e circuito aberto na malha (fio de carga rompido)</w:t>
      </w:r>
    </w:p>
    <w:p>
      <w:pPr>
        <w:pStyle w:val="ListBullet"/>
        <w:spacing w:after="40"/>
      </w:pPr>
      <w:r>
        <w:rPr>
          <w:sz w:val="20"/>
        </w:rPr>
        <w:t>Medição e exibição trifásicas completas. A unidade mede e exibe continuamente a porcentagem efetiva de entrada/saída, a tensão de saída, as correntes de saída por fase (A/B/C) e a potência de saída em kW — proporcionando aos operadores visibilidade total da carga sem a necessidade de medidores externos</w:t>
      </w:r>
    </w:p>
    <w:p>
      <w:pPr>
        <w:pStyle w:val="ListBullet"/>
        <w:spacing w:after="40"/>
      </w:pPr>
      <w:r>
        <w:rPr>
          <w:sz w:val="20"/>
        </w:rPr>
        <w:t>Saída a relé programável: uma saída a relé (3 A @ CA 250 V / 3 A @ CC 30 V) pode ser programada para sinalizar uma condição de falha ou o status de funcionamento</w:t>
      </w:r>
    </w:p>
    <w:p>
      <w:pPr>
        <w:pStyle w:val="ListBullet"/>
        <w:spacing w:after="40"/>
      </w:pPr>
      <w:r>
        <w:rPr>
          <w:sz w:val="20"/>
        </w:rPr>
        <w:t>O recurso de controle de temperatura pode ser selecionado; se você selecionar o recurso de controle de temperatura, a unidade se tornará um dispositivo 2 em 1 que funciona com termopar e controla a temperatura diretamente</w:t>
      </w:r>
    </w:p>
    <w:p>
      <w:pPr>
        <w:pStyle w:val="ListBullet"/>
        <w:spacing w:after="40"/>
      </w:pPr>
      <w:r>
        <w:rPr>
          <w:sz w:val="20"/>
        </w:rPr>
        <w:t>A unidade possui um display integrado no painel; você também pode escolher um display externo para ser montado no painel do gabinete de controle</w:t>
      </w:r>
    </w:p>
    <w:p>
      <w:pPr>
        <w:pStyle w:val="ListBullet"/>
        <w:spacing w:after="40"/>
      </w:pPr>
      <w:r>
        <w:rPr>
          <w:sz w:val="20"/>
        </w:rPr>
        <w:t>As opções de corrente disponíveis são: 25A, 50A, 75A, 100A, 150A, 200A, 250A, 300A, 350A</w:t>
      </w:r>
    </w:p>
    <w:p>
      <w:pPr>
        <w:pStyle w:val="Heading1"/>
      </w:pPr>
      <w:r>
        <w:rPr>
          <w:rFonts w:ascii="Calibri" w:hAnsi="Calibri"/>
          <w:color w:val="E87A00"/>
        </w:rPr>
        <w:t>2. Resumo das características principais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551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Categoria</w:t>
            </w:r>
          </w:p>
        </w:tc>
        <w:tc>
          <w:tcPr>
            <w:tcW w:type="dxa" w:w="7087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Característica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Núcleo de controle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Microprocessador integrado de alto desempenho e baixo consumo de energia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Entrada do circuito principal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Trifásica CA de ampla faixa, 260–440 V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Alimentação de controle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CA 160–240 V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Entradas de setpoint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0–20 mA / 4–20 mA (AI1) e 0–5 V / 0–10 V (AI2), canais analógicos duplos; setpoint digital via teclado ou Modbus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Entradas digitais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2 entradas de chave programáveis (SW1: partida/parada; SW2: seleção AI1/AI2)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Modos de controle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Ângulo de fase em malha fechada / ângulo de fase em malha aberta / disparo por cruzamento de zero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Regulação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PID em malha fechada com realimentação selecionável entre tensão, corrente ou potência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Alarme e proteção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Detecção de perda de fase, superaquecimento, sobrecorrente e circuito aberto na carga (fio rompido)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Saída a relé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1 canal, 3 A @ CA 250 V / 3 A @ CC 30 V, programável (falha ou status de funcionamento)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Comunicação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Modbus-RTU sobre RS-485; códigos de função 03/04/06/16; 2400–38400 bps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Partida/parada suave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Tempo de rampa de subida / rampa de descida ajustável de 0–120 s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Limitação de saída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Limite superior/inferior de saída (0–100,0%), limitador de corrente ou de tensão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Frequência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50 Hz / 60 Hz / rastreamento automático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Refrigeração e construção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Dissipação de calor de alta eficiência — tamanho compacto, baixo peso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Correntes nominais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Tamanhos de carcaça de 10–350 A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Opções</w:t>
            </w:r>
          </w:p>
        </w:tc>
        <w:tc>
          <w:tcPr>
            <w:tcW w:type="dxa" w:w="7087"/>
          </w:tcPr>
          <w:p>
            <w:r/>
            <w:r>
              <w:rPr>
                <w:sz w:val="18"/>
              </w:rPr>
              <w:t>T: função de controle de temperatura; ED: extensão de display externo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rPr>
          <w:rFonts w:ascii="Calibri" w:hAnsi="Calibri"/>
          <w:color w:val="E87A00"/>
        </w:rPr>
        <w:t>3. Linha de modelos e dimensões de montagem</w:t>
      </w:r>
    </w:p>
    <w:p>
      <w:pPr>
        <w:spacing w:after="80"/>
      </w:pPr>
      <w:r>
        <w:rPr>
          <w:b w:val="0"/>
          <w:sz w:val="20"/>
        </w:rPr>
        <w:t>A série está disponível em cinco tamanhos de carcaça. Todas as dimensões estão em milímetros (L × A × P referem-se ao contorno geral; os furos de montagem são de 6 mm ou 9 mm). Instale a unidade verticalmente, permitindo a livre circulação de ar ao redor do dissipador de calor.</w:t>
      </w:r>
    </w:p>
    <w:p>
      <w:pPr>
        <w:spacing w:after="80"/>
      </w:pPr>
      <w:r>
        <w:rPr>
          <w:b/>
          <w:color w:val="E87A00"/>
          <w:sz w:val="20"/>
        </w:rPr>
        <w:t>Corrente nominal: 25A, 50A</w:t>
      </w:r>
    </w:p>
    <w:p>
      <w:pPr>
        <w:spacing w:after="80"/>
      </w:pPr>
      <w:r>
        <w:rPr>
          <w:b w:val="0"/>
          <w:color w:val="E87A00"/>
          <w:sz w:val="20"/>
        </w:rPr>
        <w:t>Dimensões: Comprimento*Largura*Altura (186 mm*80 mm*125 mm)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00000" cy="210156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m_25_50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21015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</w:pPr>
      <w:r>
        <w:rPr>
          <w:b/>
          <w:color w:val="E87A00"/>
          <w:sz w:val="20"/>
        </w:rPr>
        <w:t>Corrente nominal: 75A, 100A</w:t>
      </w:r>
    </w:p>
    <w:p>
      <w:pPr>
        <w:spacing w:after="80"/>
      </w:pPr>
      <w:r>
        <w:rPr>
          <w:b w:val="0"/>
          <w:color w:val="E87A00"/>
          <w:sz w:val="20"/>
        </w:rPr>
        <w:t>Dimensões: Comprimento*Largura*Altura (251 mm*136 mm*179 mm)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00000" cy="216406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m_75_10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21640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</w:pPr>
      <w:r>
        <w:rPr>
          <w:b/>
          <w:color w:val="E87A00"/>
          <w:sz w:val="20"/>
        </w:rPr>
        <w:t>Corrente nominal: 150A</w:t>
      </w:r>
    </w:p>
    <w:p>
      <w:pPr>
        <w:spacing w:after="80"/>
      </w:pPr>
      <w:r>
        <w:rPr>
          <w:b w:val="0"/>
          <w:color w:val="E87A00"/>
          <w:sz w:val="20"/>
        </w:rPr>
        <w:t>Dimensões: Comprimento*Largura*Altura (335 mm*164 mm*209 mm)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00000" cy="203125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m_15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203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</w:pPr>
      <w:r>
        <w:rPr>
          <w:b/>
          <w:color w:val="E87A00"/>
          <w:sz w:val="20"/>
        </w:rPr>
        <w:t>Corrente nominal: 200A, 250A, 300A</w:t>
      </w:r>
    </w:p>
    <w:p>
      <w:pPr>
        <w:spacing w:after="80"/>
      </w:pPr>
      <w:r>
        <w:rPr>
          <w:b w:val="0"/>
          <w:color w:val="E87A00"/>
          <w:sz w:val="20"/>
        </w:rPr>
        <w:t>Dimensões: Comprimento*Largura*Altura (360 mm*194 mm*228 mm)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00000" cy="24453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m_200_300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24453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</w:pPr>
      <w:r>
        <w:rPr>
          <w:b/>
          <w:color w:val="E87A00"/>
          <w:sz w:val="20"/>
        </w:rPr>
        <w:t>Corrente nominal: 350A</w:t>
      </w:r>
    </w:p>
    <w:p>
      <w:pPr>
        <w:spacing w:after="80"/>
      </w:pPr>
      <w:r>
        <w:rPr>
          <w:b w:val="0"/>
          <w:color w:val="E87A00"/>
          <w:sz w:val="20"/>
        </w:rPr>
        <w:t>Dimensões: Comprimento*Largura*Altura (436 mm*264 mm*228 mm)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00000" cy="1800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m_350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180000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2268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Especificações</w:t>
            </w:r>
          </w:p>
        </w:tc>
        <w:tc>
          <w:tcPr>
            <w:tcW w:type="dxa" w:w="2835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Corrente nominal</w:t>
            </w:r>
          </w:p>
        </w:tc>
        <w:tc>
          <w:tcPr>
            <w:tcW w:type="dxa" w:w="4535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Dimensões (mm) (comprimento, largura, altura)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25</w:t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025A</w:t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  <w:t>186*80*125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50</w:t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050A</w:t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  <w:t>186*80*125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75</w:t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075A</w:t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  <w:t>251*136*179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100</w:t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100A</w:t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  <w:t>251*136*179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150</w:t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150A</w:t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  <w:t>335*164*209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200</w:t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200A</w:t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  <w:t>360*194*228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250</w:t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250A</w:t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  <w:t>360*194*228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300</w:t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300A</w:t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  <w:t>360*194*228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350</w:t>
            </w:r>
          </w:p>
        </w:tc>
        <w:tc>
          <w:tcPr>
            <w:tcW w:type="dxa" w:w="2835"/>
          </w:tcPr>
          <w:p>
            <w:r/>
            <w:r>
              <w:rPr>
                <w:sz w:val="18"/>
              </w:rPr>
              <w:t>350A</w:t>
            </w:r>
          </w:p>
        </w:tc>
        <w:tc>
          <w:tcPr>
            <w:tcW w:type="dxa" w:w="4535"/>
          </w:tcPr>
          <w:p>
            <w:r/>
            <w:r>
              <w:rPr>
                <w:sz w:val="18"/>
              </w:rPr>
              <w:t>436*264*228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Calibri" w:hAnsi="Calibri"/>
          <w:color w:val="E87A00"/>
        </w:rPr>
        <w:t>4. Informações para pedido</w:t>
      </w:r>
    </w:p>
    <w:p>
      <w:pPr>
        <w:spacing w:after="80"/>
      </w:pPr>
      <w:r>
        <w:rPr>
          <w:b/>
          <w:sz w:val="20"/>
        </w:rPr>
        <w:t>MW30L------[Corrente nominal (A)]------[Opção]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969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Campo</w:t>
            </w:r>
          </w:p>
        </w:tc>
        <w:tc>
          <w:tcPr>
            <w:tcW w:type="dxa" w:w="5669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Significado</w:t>
            </w:r>
          </w:p>
        </w:tc>
      </w:tr>
      <w:tr>
        <w:tc>
          <w:tcPr>
            <w:tcW w:type="dxa" w:w="3969"/>
          </w:tcPr>
          <w:p>
            <w:r/>
            <w:r>
              <w:rPr>
                <w:sz w:val="18"/>
              </w:rPr>
              <w:t>MW30L</w:t>
            </w:r>
          </w:p>
        </w:tc>
        <w:tc>
          <w:tcPr>
            <w:tcW w:type="dxa" w:w="5669"/>
          </w:tcPr>
          <w:p>
            <w:r/>
            <w:r>
              <w:rPr>
                <w:sz w:val="18"/>
              </w:rPr>
              <w:t>Regulador de potência trifásico da série MW30L</w:t>
            </w:r>
          </w:p>
        </w:tc>
      </w:tr>
      <w:tr>
        <w:tc>
          <w:tcPr>
            <w:tcW w:type="dxa" w:w="3969"/>
          </w:tcPr>
          <w:p>
            <w:r/>
            <w:r>
              <w:rPr>
                <w:sz w:val="18"/>
              </w:rPr>
              <w:t>Corrente nominal (A)</w:t>
            </w:r>
          </w:p>
        </w:tc>
        <w:tc>
          <w:tcPr>
            <w:tcW w:type="dxa" w:w="5669"/>
          </w:tcPr>
          <w:p>
            <w:r/>
            <w:r>
              <w:rPr>
                <w:sz w:val="18"/>
              </w:rPr>
              <w:t>25A, 50A, 75A, 100A, 150A, 200A, 250A, 300A, 350A.</w:t>
            </w:r>
          </w:p>
        </w:tc>
      </w:tr>
      <w:tr>
        <w:tc>
          <w:tcPr>
            <w:tcW w:type="dxa" w:w="3969"/>
          </w:tcPr>
          <w:p>
            <w:r/>
            <w:r>
              <w:rPr>
                <w:sz w:val="18"/>
              </w:rPr>
              <w:t>Opção de controle de temperatura</w:t>
            </w:r>
          </w:p>
        </w:tc>
        <w:tc>
          <w:tcPr>
            <w:tcW w:type="dxa" w:w="5669"/>
          </w:tcPr>
          <w:p>
            <w:r/>
            <w:r>
              <w:rPr>
                <w:sz w:val="18"/>
              </w:rPr>
              <w:t>“T” com função de controle de temperatura</w:t>
            </w:r>
          </w:p>
        </w:tc>
      </w:tr>
      <w:tr>
        <w:tc>
          <w:tcPr>
            <w:tcW w:type="dxa" w:w="3969"/>
          </w:tcPr>
          <w:p>
            <w:r/>
            <w:r>
              <w:rPr>
                <w:sz w:val="18"/>
              </w:rPr>
              <w:t>Opção de display externo</w:t>
            </w:r>
          </w:p>
        </w:tc>
        <w:tc>
          <w:tcPr>
            <w:tcW w:type="dxa" w:w="5669"/>
          </w:tcPr>
          <w:p>
            <w:r/>
            <w:r>
              <w:rPr>
                <w:sz w:val="18"/>
              </w:rPr>
              <w:t>“ED” com display externo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b/>
          <w:color w:val="E87A00"/>
          <w:sz w:val="20"/>
        </w:rPr>
        <w:t>Exemplo: MW30L-250-T-ED</w:t>
      </w:r>
    </w:p>
    <w:p>
      <w:pPr>
        <w:spacing w:after="0"/>
      </w:pPr>
      <w:r>
        <w:rPr>
          <w:b w:val="0"/>
          <w:color w:val="E87A00"/>
          <w:sz w:val="20"/>
        </w:rPr>
        <w:t>Regulador de potência SCR da série MW30L</w:t>
      </w:r>
    </w:p>
    <w:p>
      <w:pPr>
        <w:spacing w:after="0"/>
      </w:pPr>
      <w:r>
        <w:rPr>
          <w:b w:val="0"/>
          <w:color w:val="E87A00"/>
          <w:sz w:val="20"/>
        </w:rPr>
        <w:t>Corrente nominal de 250 ampères</w:t>
      </w:r>
    </w:p>
    <w:p>
      <w:pPr>
        <w:spacing w:after="0"/>
      </w:pPr>
      <w:r>
        <w:rPr>
          <w:b w:val="0"/>
          <w:color w:val="E87A00"/>
          <w:sz w:val="20"/>
        </w:rPr>
        <w:t>Com recurso de controle de temperatura</w:t>
      </w:r>
    </w:p>
    <w:p>
      <w:pPr>
        <w:spacing w:after="80"/>
      </w:pPr>
      <w:r>
        <w:rPr>
          <w:b w:val="0"/>
          <w:color w:val="E87A00"/>
          <w:sz w:val="20"/>
        </w:rPr>
        <w:t>Com display de montagem externa</w:t>
      </w:r>
    </w:p>
    <w:p>
      <w:pPr>
        <w:pStyle w:val="Heading1"/>
      </w:pPr>
      <w:r>
        <w:rPr>
          <w:rFonts w:ascii="Calibri" w:hAnsi="Calibri"/>
          <w:color w:val="E87A00"/>
        </w:rPr>
        <w:t>5. Painel frontal e operação do teclado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835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Tecla</w:t>
            </w:r>
          </w:p>
        </w:tc>
        <w:tc>
          <w:tcPr>
            <w:tcW w:type="dxa" w:w="6803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Função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Menu (OK)</w:t>
            </w:r>
          </w:p>
        </w:tc>
        <w:tc>
          <w:tcPr>
            <w:tcW w:type="dxa" w:w="6803"/>
          </w:tcPr>
          <w:p>
            <w:r/>
            <w:r>
              <w:rPr>
                <w:sz w:val="18"/>
              </w:rPr>
              <w:t>Entrar no nível de parâmetros / confirmar e salvar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▲ (para cima)</w:t>
            </w:r>
          </w:p>
        </w:tc>
        <w:tc>
          <w:tcPr>
            <w:tcW w:type="dxa" w:w="6803"/>
          </w:tcPr>
          <w:p>
            <w:r/>
            <w:r>
              <w:rPr>
                <w:sz w:val="18"/>
              </w:rPr>
              <w:t>Aumentar dados / percorrer parâmetros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▼ (para baixo)</w:t>
            </w:r>
          </w:p>
        </w:tc>
        <w:tc>
          <w:tcPr>
            <w:tcW w:type="dxa" w:w="6803"/>
          </w:tcPr>
          <w:p>
            <w:r/>
            <w:r>
              <w:rPr>
                <w:sz w:val="18"/>
              </w:rPr>
              <w:t>Diminuir dados / percorrer parâmetros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Return (Voltar)</w:t>
            </w:r>
          </w:p>
        </w:tc>
        <w:tc>
          <w:tcPr>
            <w:tcW w:type="dxa" w:w="6803"/>
          </w:tcPr>
          <w:p>
            <w:r/>
            <w:r>
              <w:rPr>
                <w:sz w:val="18"/>
              </w:rPr>
              <w:t>Retornar ao nível anterior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RUN</w:t>
            </w:r>
          </w:p>
        </w:tc>
        <w:tc>
          <w:tcPr>
            <w:tcW w:type="dxa" w:w="6803"/>
          </w:tcPr>
          <w:p>
            <w:r/>
            <w:r>
              <w:rPr>
                <w:sz w:val="18"/>
              </w:rPr>
              <w:t>Colocar o regulador em FUNCIONAMENTO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STOP</w:t>
            </w:r>
          </w:p>
        </w:tc>
        <w:tc>
          <w:tcPr>
            <w:tcW w:type="dxa" w:w="6803"/>
          </w:tcPr>
          <w:p>
            <w:r/>
            <w:r>
              <w:rPr>
                <w:sz w:val="18"/>
              </w:rPr>
              <w:t>Parar o regulador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b w:val="0"/>
          <w:sz w:val="20"/>
        </w:rPr>
        <w:t>Indicadores do painel: Alimentação (Power supply), Operação (Operation), Falha (Fault), Comunicação (Communication). Teclas: tecla Menu (MenuKey), aumentar dados (DataPlus), tecla Voltar (BackKey), tecla de funcionamento (RunKey), diminuir dados (DataReduction), botão de parada (StopButton).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960000" cy="1287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ront_pane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28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</w:pPr>
      <w:r>
        <w:rPr>
          <w:b/>
          <w:sz w:val="20"/>
        </w:rPr>
        <w:t>Navegação no display. A interface está organizada em três níveis:</w:t>
      </w:r>
    </w:p>
    <w:p>
      <w:pPr>
        <w:spacing w:after="40"/>
      </w:pPr>
      <w:r>
        <w:rPr>
          <w:b w:val="0"/>
          <w:sz w:val="20"/>
        </w:rPr>
        <w:t>1. Janela inicial (monitoramento) — alterna ciclicamente entre porcentagem de entrada, porcentagem de saída, tensão de saída, corrente de saída e potência de saída.</w:t>
      </w:r>
    </w:p>
    <w:p>
      <w:pPr>
        <w:spacing w:after="40"/>
      </w:pPr>
      <w:r>
        <w:rPr>
          <w:b w:val="0"/>
          <w:sz w:val="20"/>
        </w:rPr>
        <w:t>2. Nível de parâmetros — mostra os números dos parâmetros (por exemplo, F000); percorra com ▲/▼ e pressione OK para entrar.</w:t>
      </w:r>
    </w:p>
    <w:p>
      <w:pPr>
        <w:spacing w:after="40"/>
      </w:pPr>
      <w:r>
        <w:rPr>
          <w:b w:val="0"/>
          <w:sz w:val="20"/>
        </w:rPr>
        <w:t>3. Nível de dados — o valor do parâmetro é exibido; um display piscando indica o modo de edição. Ajuste o valor com as teclas para cima/para baixo e pressione OK para salvar (o display para de piscar e mostra o valor armazenado, constante). Pressione Return (Voltar) para sair sem salvar.</w:t>
      </w:r>
    </w:p>
    <w:p>
      <w:pPr>
        <w:spacing w:after="80"/>
      </w:pPr>
      <w:r>
        <w:rPr>
          <w:b/>
          <w:sz w:val="20"/>
        </w:rPr>
        <w:t>Nota: modifique os parâmetros somente enquanto o regulador estiver no estado STOP (parado).</w:t>
      </w:r>
    </w:p>
    <w:p>
      <w:r>
        <w:br w:type="page"/>
      </w:r>
    </w:p>
    <w:p>
      <w:pPr>
        <w:pStyle w:val="Heading1"/>
      </w:pPr>
      <w:r>
        <w:rPr>
          <w:rFonts w:ascii="Calibri" w:hAnsi="Calibri"/>
          <w:color w:val="E87A00"/>
        </w:rPr>
        <w:t>6. Descrição dos terminais e fiação</w:t>
      </w:r>
    </w:p>
    <w:p>
      <w:pPr>
        <w:spacing w:after="80"/>
      </w:pPr>
      <w:r>
        <w:rPr>
          <w:b w:val="0"/>
          <w:sz w:val="20"/>
        </w:rPr>
        <w:t>Entrada do circuito principal (CA 260–440 V) | Alimentação de controle (CA 160–240 V) | Relé de saída (3 A / CA 250 V) | Comunicação RS-485 (RS485-RTU) | Carga | Entrada analógica | Entradas digitais programáveis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680000" cy="245142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ring_diagram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451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Diagrama de fiação do MW30L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2835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Grupo de terminais</w:t>
            </w:r>
          </w:p>
        </w:tc>
        <w:tc>
          <w:tcPr>
            <w:tcW w:type="dxa" w:w="3402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Terminais</w:t>
            </w:r>
          </w:p>
        </w:tc>
        <w:tc>
          <w:tcPr>
            <w:tcW w:type="dxa" w:w="3402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Especificação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Entrada do circuito principal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R, S, T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Trifásica CA 260–440 V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Saída do circuito principal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U, V, W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Para a carga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Alimentação de controle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L (14), N (15)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CA 160–240 V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Saída a relé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ON1 (11), ON2 (12)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3 A / CA 250 V (também 3 A / CC 30 V), programável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Comunicação RS-485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A (8), B (9)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Modbus-RTU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E/S analógica/digital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P+ (2), AI1 (3), AI2 (4), GND (5), SW1 (6), SW2 (7), GND (7*)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Ver abaixo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b/>
          <w:sz w:val="20"/>
        </w:rPr>
        <w:t>Funções das entradas de sinal:</w:t>
      </w:r>
    </w:p>
    <w:p>
      <w:pPr>
        <w:pStyle w:val="ListBullet"/>
        <w:spacing w:after="40"/>
      </w:pPr>
      <w:r>
        <w:rPr>
          <w:sz w:val="20"/>
        </w:rPr>
        <w:t>AI1 — entrada analógica de setpoint em corrente: 0–20 mA, 4–20 mA ou controle de inclinação combinada (definido por F-012).</w:t>
      </w:r>
    </w:p>
    <w:p>
      <w:pPr>
        <w:pStyle w:val="ListBullet"/>
        <w:spacing w:after="40"/>
      </w:pPr>
      <w:r>
        <w:rPr>
          <w:sz w:val="20"/>
        </w:rPr>
        <w:t>AI2 — entrada analógica de setpoint em tensão: 0–5 V ou 0–10 V (definido por F-033).</w:t>
      </w:r>
    </w:p>
    <w:p>
      <w:pPr>
        <w:pStyle w:val="ListBullet"/>
        <w:spacing w:after="40"/>
      </w:pPr>
      <w:r>
        <w:rPr>
          <w:sz w:val="20"/>
        </w:rPr>
        <w:t>SW1 — sinal de partida/parada por padrão; conecte a uma chave externa ou botão de pressão para partida/parada remota.</w:t>
      </w:r>
    </w:p>
    <w:p>
      <w:pPr>
        <w:pStyle w:val="ListBullet"/>
        <w:spacing w:after="40"/>
      </w:pPr>
      <w:r>
        <w:rPr>
          <w:sz w:val="20"/>
        </w:rPr>
        <w:t>SW2 — seletor de canal analógico: aberto (SW2–GND desconectado) seleciona AI1; fechado (SW2–GND conectado) seleciona AI2.</w:t>
      </w:r>
    </w:p>
    <w:p>
      <w:pPr>
        <w:pStyle w:val="ListBullet"/>
        <w:spacing w:after="40"/>
      </w:pPr>
      <w:r>
        <w:rPr>
          <w:sz w:val="20"/>
        </w:rPr>
        <w:t>Uso de potenciômetro — selecione AI2 como o sinal ativo; conecte o cursor do potenciômetro (terminal central) a AI2 e as duas extremidades a P+ e GND.</w:t>
      </w:r>
    </w:p>
    <w:p>
      <w:pPr>
        <w:spacing w:after="80"/>
      </w:pPr>
      <w:r>
        <w:rPr>
          <w:b w:val="0"/>
          <w:sz w:val="20"/>
        </w:rPr>
        <w:t>Conecte a carga trifásica a U, V, W. Siga exatamente o diagrama de fiação da folha de dados original; a fiação incorreta é uma causa comum da falha E002 de alimentação principal.</w:t>
      </w:r>
    </w:p>
    <w:p>
      <w:pPr>
        <w:pStyle w:val="Heading1"/>
      </w:pPr>
      <w:r>
        <w:rPr>
          <w:rFonts w:ascii="Calibri" w:hAnsi="Calibri"/>
          <w:color w:val="E87A00"/>
        </w:rPr>
        <w:t>7. Comunicação (Modbus-RTU)</w:t>
      </w:r>
    </w:p>
    <w:p>
      <w:pPr>
        <w:spacing w:after="80"/>
      </w:pPr>
      <w:r>
        <w:rPr>
          <w:b w:val="0"/>
          <w:sz w:val="20"/>
        </w:rPr>
        <w:t>A série MW30L suporta o protocolo Modbus-RTU sobre RS-485 com quatro códigos de função: 03 (leitura de registradores de retenção), 04, 06 (escrita de registrador único) e 16 (escrita de múltiplos registradores).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835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Configuração</w:t>
            </w:r>
          </w:p>
        </w:tc>
        <w:tc>
          <w:tcPr>
            <w:tcW w:type="dxa" w:w="1701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Parâmetro</w:t>
            </w:r>
          </w:p>
        </w:tc>
        <w:tc>
          <w:tcPr>
            <w:tcW w:type="dxa" w:w="3402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Faixa / Opções</w:t>
            </w:r>
          </w:p>
        </w:tc>
        <w:tc>
          <w:tcPr>
            <w:tcW w:type="dxa" w:w="1701"/>
            <w:shd w:val="clear" w:color="auto" w:fill="E87A00"/>
          </w:tcPr>
          <w:p>
            <w:r/>
            <w:r>
              <w:rPr>
                <w:b/>
                <w:color w:val="FFFFFF"/>
                <w:sz w:val="18"/>
              </w:rPr>
              <w:t>Padrão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Endereço do escravo</w:t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  <w:t>F-035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1–247</w:t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  <w:t>2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Taxa de transmissão (baud rate)</w:t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  <w:t>F-036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2400 / 4800 / 9600 / 19200 / 38400</w:t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  <w:t>9600</w:t>
            </w:r>
          </w:p>
        </w:tc>
      </w:tr>
      <w:tr>
        <w:tc>
          <w:tcPr>
            <w:tcW w:type="dxa" w:w="2835"/>
          </w:tcPr>
          <w:p>
            <w:r/>
            <w:r>
              <w:rPr>
                <w:sz w:val="18"/>
              </w:rPr>
              <w:t>Formato de dados</w:t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  <w:t>F-037</w:t>
            </w:r>
          </w:p>
        </w:tc>
        <w:tc>
          <w:tcPr>
            <w:tcW w:type="dxa" w:w="3402"/>
          </w:tcPr>
          <w:p>
            <w:r/>
            <w:r>
              <w:rPr>
                <w:sz w:val="18"/>
              </w:rPr>
              <w:t>8n2, 8e1, 8o1, 8n1</w:t>
            </w:r>
          </w:p>
        </w:tc>
        <w:tc>
          <w:tcPr>
            <w:tcW w:type="dxa" w:w="1701"/>
          </w:tcPr>
          <w:p>
            <w:r/>
            <w:r>
              <w:rPr>
                <w:sz w:val="18"/>
              </w:rPr>
              <w:t>8e1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b/>
          <w:sz w:val="20"/>
        </w:rPr>
        <w:t>Formato do quadro de Leitura de Registradores de Retenção (função 03H):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108"/>
        <w:gridCol w:w="1108"/>
        <w:gridCol w:w="1108"/>
        <w:gridCol w:w="1108"/>
        <w:gridCol w:w="1108"/>
        <w:gridCol w:w="1108"/>
        <w:gridCol w:w="1108"/>
        <w:gridCol w:w="1108"/>
        <w:gridCol w:w="1108"/>
      </w:tblGrid>
      <w:tr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Byte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0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1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2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3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4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5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6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7</w:t>
            </w:r>
          </w:p>
        </w:tc>
      </w:tr>
      <w:tr>
        <w:tc>
          <w:tcPr>
            <w:tcW w:type="dxa" w:w="1108"/>
          </w:tcPr>
          <w:p>
            <w:r/>
            <w:r>
              <w:rPr>
                <w:sz w:val="15"/>
              </w:rPr>
              <w:t>Conteúdo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Endereço do escravo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03H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End. do registrador H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End. do registrador L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Qtd. de registradores H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Qtd. de registradores L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CRC L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CRC H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b/>
          <w:sz w:val="20"/>
        </w:rPr>
        <w:t>Formato do quadro de Predefinição de Registrador Único (função 06H):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108"/>
        <w:gridCol w:w="1108"/>
        <w:gridCol w:w="1108"/>
        <w:gridCol w:w="1108"/>
        <w:gridCol w:w="1108"/>
        <w:gridCol w:w="1108"/>
        <w:gridCol w:w="1108"/>
        <w:gridCol w:w="1108"/>
        <w:gridCol w:w="1108"/>
      </w:tblGrid>
      <w:tr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Byte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0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1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2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3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4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5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6</w:t>
            </w:r>
          </w:p>
        </w:tc>
        <w:tc>
          <w:tcPr>
            <w:tcW w:type="dxa" w:w="1108"/>
            <w:shd w:val="clear" w:color="auto" w:fill="E87A00"/>
          </w:tcPr>
          <w:p>
            <w:r/>
            <w:r>
              <w:rPr>
                <w:b/>
                <w:color w:val="FFFFFF"/>
                <w:sz w:val="15"/>
              </w:rPr>
              <w:t>7</w:t>
            </w:r>
          </w:p>
        </w:tc>
      </w:tr>
      <w:tr>
        <w:tc>
          <w:tcPr>
            <w:tcW w:type="dxa" w:w="1108"/>
          </w:tcPr>
          <w:p>
            <w:r/>
            <w:r>
              <w:rPr>
                <w:sz w:val="15"/>
              </w:rPr>
              <w:t>Conteúdo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Endereço do escravo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06H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End. do registrador H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End. do registrador L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Dados H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Dados L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CRC L</w:t>
            </w:r>
          </w:p>
        </w:tc>
        <w:tc>
          <w:tcPr>
            <w:tcW w:type="dxa" w:w="1108"/>
          </w:tcPr>
          <w:p>
            <w:r/>
            <w:r>
              <w:rPr>
                <w:sz w:val="15"/>
              </w:rPr>
              <w:t>CRC H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b/>
          <w:sz w:val="20"/>
        </w:rPr>
        <w:t>Regras de programação importantes:</w:t>
      </w:r>
    </w:p>
    <w:p>
      <w:pPr>
        <w:spacing w:after="40"/>
      </w:pPr>
      <w:r>
        <w:rPr>
          <w:b w:val="0"/>
          <w:sz w:val="20"/>
        </w:rPr>
        <w:t>1. Os valores dos parâmetros são transmitidos como registradores de 16 bits sem sinal, sem ponto decimal. Para escrever um valor como 56,7, primeiro converta-o para o inteiro 567 (multiplique por 10 para todos os parâmetros cuja resolução é 0,1).</w:t>
      </w:r>
    </w:p>
    <w:p>
      <w:pPr>
        <w:spacing w:after="40"/>
      </w:pPr>
      <w:r>
        <w:rPr>
          <w:b w:val="0"/>
          <w:sz w:val="20"/>
        </w:rPr>
        <w:t>2. Cada quadro não deve exceder 10 bytes, portanto no máximo 5 parâmetros podem ser lidos por quadro. (Exemplo: ao se comunicar com uma tela sensível ao toque MCGS/Kunlun, defina o comprimento máximo de bloco da área 4 como 5, de modo que apenas 5 registradores sejam lidos por quadro.)</w:t>
      </w:r>
    </w:p>
    <w:p>
      <w:pPr>
        <w:spacing w:after="40"/>
      </w:pPr>
      <w:r>
        <w:rPr>
          <w:b w:val="0"/>
          <w:sz w:val="20"/>
        </w:rPr>
        <w:t>3. Os endereços de registrador do host (mestre) começam em 1, portanto adicione 1 ao número do registrador do parâmetro — por exemplo, para ler F-004, escreva o registrador número 5 no mestre.</w:t>
      </w:r>
    </w:p>
    <w:p>
      <w:pPr>
        <w:spacing w:after="40"/>
      </w:pPr>
      <w:r>
        <w:rPr>
          <w:b w:val="0"/>
          <w:sz w:val="20"/>
        </w:rPr>
        <w:t>4. As alterações nos parâmetros de comunicação (F-035/F-036/F-037) só têm efeito após um ciclo de desligamento e religamento da alimentação.</w:t>
      </w:r>
    </w:p>
    <w:p>
      <w:pPr>
        <w:pStyle w:val="Heading1"/>
      </w:pPr>
      <w:r>
        <w:rPr>
          <w:rFonts w:ascii="Calibri" w:hAnsi="Calibri"/>
          <w:color w:val="E87A00"/>
        </w:rPr>
        <w:t>8. Tabela de parâmetros</w:t>
      </w:r>
    </w:p>
    <w:p>
      <w:pPr>
        <w:spacing w:after="80"/>
      </w:pPr>
      <w:r>
        <w:rPr>
          <w:b w:val="0"/>
          <w:sz w:val="20"/>
        </w:rPr>
        <w:t>A seguir estão os parâmetros básicos de operação. O atributo R significa somente leitura; RW significa leitura/escrita. Modifique os parâmetros somente no estado parado.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134"/>
            <w:shd w:val="clear" w:color="auto" w:fill="E87A00"/>
          </w:tcPr>
          <w:p>
            <w:r/>
            <w:r>
              <w:rPr>
                <w:b/>
                <w:color w:val="FFFFFF"/>
                <w:sz w:val="16"/>
              </w:rPr>
              <w:t>Parâmetro</w:t>
            </w:r>
          </w:p>
        </w:tc>
        <w:tc>
          <w:tcPr>
            <w:tcW w:type="dxa" w:w="4252"/>
            <w:shd w:val="clear" w:color="auto" w:fill="E87A00"/>
          </w:tcPr>
          <w:p>
            <w:r/>
            <w:r>
              <w:rPr>
                <w:b/>
                <w:color w:val="FFFFFF"/>
                <w:sz w:val="16"/>
              </w:rPr>
              <w:t>Descrição</w:t>
            </w:r>
          </w:p>
        </w:tc>
        <w:tc>
          <w:tcPr>
            <w:tcW w:type="dxa" w:w="1814"/>
            <w:shd w:val="clear" w:color="auto" w:fill="E87A00"/>
          </w:tcPr>
          <w:p>
            <w:r/>
            <w:r>
              <w:rPr>
                <w:b/>
                <w:color w:val="FFFFFF"/>
                <w:sz w:val="16"/>
              </w:rPr>
              <w:t>Faixa / Opções</w:t>
            </w:r>
          </w:p>
        </w:tc>
        <w:tc>
          <w:tcPr>
            <w:tcW w:type="dxa" w:w="1134"/>
            <w:shd w:val="clear" w:color="auto" w:fill="E87A00"/>
          </w:tcPr>
          <w:p>
            <w:r/>
            <w:r>
              <w:rPr>
                <w:b/>
                <w:color w:val="FFFFFF"/>
                <w:sz w:val="16"/>
              </w:rPr>
              <w:t>Padrão</w:t>
            </w:r>
          </w:p>
        </w:tc>
        <w:tc>
          <w:tcPr>
            <w:tcW w:type="dxa" w:w="737"/>
            <w:shd w:val="clear" w:color="auto" w:fill="E87A00"/>
          </w:tcPr>
          <w:p>
            <w:r/>
            <w:r>
              <w:rPr>
                <w:b/>
                <w:color w:val="FFFFFF"/>
                <w:sz w:val="16"/>
              </w:rPr>
              <w:t>Atrib.</w:t>
            </w:r>
          </w:p>
        </w:tc>
        <w:tc>
          <w:tcPr>
            <w:tcW w:type="dxa" w:w="850"/>
            <w:shd w:val="clear" w:color="auto" w:fill="E87A00"/>
          </w:tcPr>
          <w:p>
            <w:r/>
            <w:r>
              <w:rPr>
                <w:b/>
                <w:color w:val="FFFFFF"/>
                <w:sz w:val="16"/>
              </w:rPr>
              <w:t>Registrador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F-000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Saída efetiva. Este parâmetro mostra a saída em tempo real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0–100,0 [%], res. 0,1%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–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0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F-001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Entrada efetiva. Este parâmetro mostra a entrada em tempo real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0–100,0 [%], res. 0,1%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–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1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F-002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Tensão de saída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0–3000,0 [V], res. 0,1 V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–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2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F-004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Corrente de saída da fase A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0–3000,0 [A], res. 0,1 A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–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4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F-005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Corrente de saída da fase B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0–3000,0 [A], res. 0,1 A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–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5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F-006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Corrente de saída da fase C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0–3000,0 [A], res. 0,1 A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–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6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F-007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Potência de saída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0–3000,0 [kW], res. 0,1 kW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–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7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F-008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Status do regulador (0: parado, 1: em funcionamento, 2: falha)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0–2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8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F-009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Entradas digitais: você pode definir manualmente a saída via Modbus a partir do dispositivo mestre e escrever a saída desejada neste registrador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0–100,0 [%], res. 0,1%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9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F-010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Modo de controle de partida/parada (0: chave externa, 1: painel, 2: comunicação)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0–2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10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F-011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Seleção do tipo de entrada (0: analógica, 1: digital). 4–20 mA e 0–10 Vcc são sinais analógicos; definido pelo painel ou via Modbus é entrada digital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11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F-012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Tipo de sinal AI1 (0: 0–20 mA, 1: 4–20 mA, 2: controle de inclinação combinada)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0–2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1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12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F-013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Tempo de rampa de subida (tempo para o sinal pré-rampa subir de 0,0% até o setpoint)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0–120 [s]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2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13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F-014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Tempo de rampa de descida (tempo para o sinal pré-rampa descer do setpoint até 0,0%)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0–120 [s]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2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14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F-015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Limite superior de saída (configuração de saída máxima)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0–100,0 [%], res. 0,1%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100,0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15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F-016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Limite inferior de saída (configuração de saída mínima)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0–100,0 [%], res. 0,1%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16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F-017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Ganho proporcional (controle PID)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0–200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80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17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F-018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Tempo integral (controle PID)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0–200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5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18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F-019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Tempo derivativo (controle PID)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0–200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19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F-020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Fonte do sinal de realimentação (0: tensão, 1: corrente, 2: potência)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0–2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20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F-021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Fonte do sinal limitador (0: corrente, 1: tensão)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21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F-022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Porcentagem de limite (configuração da porcentagem do sinal de limite)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0–100,0 [%], res. 0,1%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100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22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F-023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Modo de controle (0: ângulo de fase em malha fechada, 1: ângulo de fase em malha aberta, 2: modo de disparo em rajadas — burst-firing)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0–2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23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F-027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Calibração de fundo de escala de AI1 (ajuste para que 20 mA corresponda a 100% da entrada)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50–150,0 [%], res. 0,1%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100,0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27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F-029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Calibração de fundo de escala de AI2 (ajuste para que 5 V / 10 V corresponda a 100% da entrada)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50–150,0 [%], res. 0,1%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100,0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29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F-033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Tipo de sinal AI2 (0: 0–5 V, 1: 0–10 V)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33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F-035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Endereço do dispositivo (endereço de escravo Modbus)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0–247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2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35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F-036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Taxa de transmissão (0: 2400, 1: 4800, 2: 9600, 3: 19200, 4: 38400)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0–4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2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36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F-037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Formato de dados (0: 8n2 — 8 bits de dados, sem paridade, 2 bits de parada; 1: 8e1 — paridade par, 1 bit de parada; 2: 8o1 — paridade ímpar, 1 bit de parada; 3: 8n1 — sem paridade, 1 bit de parada)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0–3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1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37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F-040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Relé programável (0: falha, 1: saída de status de funcionamento). Programe o relé para diferentes funções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40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F-041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Registro de falha anterior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0–100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–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41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F-042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Habilitação da proteção contra sobrecorrente (0: desabilitar, 1: habilitar)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1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42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F-043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Habilitação da proteção contra perda de fase (0: desabilitar, 1: habilitar, 2: recuperação automática de falha)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0–2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1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43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F-044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Habilitação da proteção de carga (0: desabilitar, 1: habilitar)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1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44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F-045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Limiar de desequilíbrio de carga (ver fórmula do código de falha E004)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10–70 [%], res. 1%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70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45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F-046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Habilitação da proteção contra superaquecimento do tiristor (0: desabilitar, 1: habilitar)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0–1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1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46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F-048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Tensão nominal (igual à da placa de identificação; pode ser reduzida para corresponder à carga real, para fins de proteção; não deve exceder o valor da placa de identificação)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0–3000 [V], res. 1 V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380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48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F-049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Corrente nominal (igual à da placa de identificação; pode ser reduzida para corresponder à carga real, para fins de proteção; não deve exceder o valor da placa de identificação)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0–3000 [A], res. 1 A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Conforme a placa de identificação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49</w:t>
            </w:r>
          </w:p>
        </w:tc>
      </w:tr>
      <w:tr>
        <w:tc>
          <w:tcPr>
            <w:tcW w:type="dxa" w:w="1134"/>
          </w:tcPr>
          <w:p>
            <w:r/>
            <w:r>
              <w:rPr>
                <w:sz w:val="16"/>
              </w:rPr>
              <w:t>F-050</w:t>
            </w:r>
          </w:p>
        </w:tc>
        <w:tc>
          <w:tcPr>
            <w:tcW w:type="dxa" w:w="4252"/>
          </w:tcPr>
          <w:p>
            <w:r/>
            <w:r>
              <w:rPr>
                <w:sz w:val="16"/>
              </w:rPr>
              <w:t>Frequência nominal (0: 50 Hz, 1: 60 Hz, 2: rastreamento automático)</w:t>
            </w:r>
          </w:p>
        </w:tc>
        <w:tc>
          <w:tcPr>
            <w:tcW w:type="dxa" w:w="1814"/>
          </w:tcPr>
          <w:p>
            <w:r/>
            <w:r>
              <w:rPr>
                <w:sz w:val="16"/>
              </w:rPr>
              <w:t>0–2</w:t>
            </w:r>
          </w:p>
        </w:tc>
        <w:tc>
          <w:tcPr>
            <w:tcW w:type="dxa" w:w="1134"/>
          </w:tcPr>
          <w:p>
            <w:r/>
            <w:r>
              <w:rPr>
                <w:sz w:val="16"/>
              </w:rPr>
              <w:t>0</w:t>
            </w:r>
          </w:p>
        </w:tc>
        <w:tc>
          <w:tcPr>
            <w:tcW w:type="dxa" w:w="737"/>
          </w:tcPr>
          <w:p>
            <w:r/>
            <w:r>
              <w:rPr>
                <w:sz w:val="16"/>
              </w:rPr>
              <w:t>RW</w:t>
            </w:r>
          </w:p>
        </w:tc>
        <w:tc>
          <w:tcPr>
            <w:tcW w:type="dxa" w:w="850"/>
          </w:tcPr>
          <w:p>
            <w:r/>
            <w:r>
              <w:rPr>
                <w:sz w:val="16"/>
              </w:rPr>
              <w:t>50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Calibri" w:hAnsi="Calibri"/>
          <w:color w:val="E87A00"/>
        </w:rPr>
        <w:t>9. Códigos de falha e diagnóstico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850"/>
            <w:shd w:val="clear" w:color="auto" w:fill="E87A00"/>
          </w:tcPr>
          <w:p>
            <w:r/>
            <w:r>
              <w:rPr>
                <w:b/>
                <w:color w:val="FFFFFF"/>
                <w:sz w:val="16"/>
              </w:rPr>
              <w:t>Código</w:t>
            </w:r>
          </w:p>
        </w:tc>
        <w:tc>
          <w:tcPr>
            <w:tcW w:type="dxa" w:w="1417"/>
            <w:shd w:val="clear" w:color="auto" w:fill="E87A00"/>
          </w:tcPr>
          <w:p>
            <w:r/>
            <w:r>
              <w:rPr>
                <w:b/>
                <w:color w:val="FFFFFF"/>
                <w:sz w:val="16"/>
              </w:rPr>
              <w:t>Falha</w:t>
            </w:r>
          </w:p>
        </w:tc>
        <w:tc>
          <w:tcPr>
            <w:tcW w:type="dxa" w:w="2835"/>
            <w:shd w:val="clear" w:color="auto" w:fill="E87A00"/>
          </w:tcPr>
          <w:p>
            <w:r/>
            <w:r>
              <w:rPr>
                <w:b/>
                <w:color w:val="FFFFFF"/>
                <w:sz w:val="16"/>
              </w:rPr>
              <w:t>Condição de acionamento</w:t>
            </w:r>
          </w:p>
        </w:tc>
        <w:tc>
          <w:tcPr>
            <w:tcW w:type="dxa" w:w="4819"/>
            <w:shd w:val="clear" w:color="auto" w:fill="E87A00"/>
          </w:tcPr>
          <w:p>
            <w:r/>
            <w:r>
              <w:rPr>
                <w:b/>
                <w:color w:val="FFFFFF"/>
                <w:sz w:val="16"/>
              </w:rPr>
              <w:t>Verificações e soluções</w:t>
            </w:r>
          </w:p>
        </w:tc>
      </w:tr>
      <w:tr>
        <w:tc>
          <w:tcPr>
            <w:tcW w:type="dxa" w:w="850"/>
          </w:tcPr>
          <w:p>
            <w:r/>
            <w:r>
              <w:rPr>
                <w:sz w:val="16"/>
              </w:rPr>
              <w:t>E002</w:t>
            </w:r>
          </w:p>
        </w:tc>
        <w:tc>
          <w:tcPr>
            <w:tcW w:type="dxa" w:w="1417"/>
          </w:tcPr>
          <w:p>
            <w:r/>
            <w:r>
              <w:rPr>
                <w:sz w:val="16"/>
              </w:rPr>
              <w:t>Falha da alimentação principal</w:t>
            </w:r>
          </w:p>
        </w:tc>
        <w:tc>
          <w:tcPr>
            <w:tcW w:type="dxa" w:w="2835"/>
          </w:tcPr>
          <w:p>
            <w:r/>
            <w:r>
              <w:rPr>
                <w:sz w:val="16"/>
              </w:rPr>
              <w:t>Tensão de entrada do circuito principal anormal; tensão de entrada não correspondente à placa de identificação; fiação em desacordo com o diagrama de fiação</w:t>
            </w:r>
          </w:p>
        </w:tc>
        <w:tc>
          <w:tcPr>
            <w:tcW w:type="dxa" w:w="4819"/>
          </w:tcPr>
          <w:p>
            <w:r/>
            <w:r>
              <w:rPr>
                <w:sz w:val="16"/>
              </w:rPr>
              <w:t>1. Meça a tensão CA fase a fase do circuito principal trifásico com um multímetro e confirme que ela está dentro da faixa da placa de identificação. 2. Verifique se a fiação corresponde ao diagrama de fiação. 3. Para recuperação automática de falha, defina F-051 = 66 e F-043 = 2.</w:t>
            </w:r>
          </w:p>
        </w:tc>
      </w:tr>
      <w:tr>
        <w:tc>
          <w:tcPr>
            <w:tcW w:type="dxa" w:w="850"/>
          </w:tcPr>
          <w:p>
            <w:r/>
            <w:r>
              <w:rPr>
                <w:sz w:val="16"/>
              </w:rPr>
              <w:t>E003</w:t>
            </w:r>
          </w:p>
        </w:tc>
        <w:tc>
          <w:tcPr>
            <w:tcW w:type="dxa" w:w="1417"/>
          </w:tcPr>
          <w:p>
            <w:r/>
            <w:r>
              <w:rPr>
                <w:sz w:val="16"/>
              </w:rPr>
              <w:t>Sobrecorrente</w:t>
            </w:r>
          </w:p>
        </w:tc>
        <w:tc>
          <w:tcPr>
            <w:tcW w:type="dxa" w:w="2835"/>
          </w:tcPr>
          <w:p>
            <w:r/>
            <w:r>
              <w:rPr>
                <w:sz w:val="16"/>
              </w:rPr>
              <w:t>Corrente detectada excede 1,25 × a corrente nominal</w:t>
            </w:r>
          </w:p>
        </w:tc>
        <w:tc>
          <w:tcPr>
            <w:tcW w:type="dxa" w:w="4819"/>
          </w:tcPr>
          <w:p>
            <w:r/>
            <w:r>
              <w:rPr>
                <w:sz w:val="16"/>
              </w:rPr>
              <w:t>1. Verifique se a corrente máxima de pré-alarme excedeu 1,25 × a corrente nominal. 2. Verifique se a resistência fase a fase da carga é consistente; inconsistência pode indicar uma carga em curto ou danificada. 3. Meça a resistência entre os terminais de entrada e saída de cada fase do regulador — uma leitura de algumas centenas de ohms ou menos pode indicar tiristores danificados.</w:t>
            </w:r>
          </w:p>
        </w:tc>
      </w:tr>
      <w:tr>
        <w:tc>
          <w:tcPr>
            <w:tcW w:type="dxa" w:w="850"/>
          </w:tcPr>
          <w:p>
            <w:r/>
            <w:r>
              <w:rPr>
                <w:sz w:val="16"/>
              </w:rPr>
              <w:t>E004</w:t>
            </w:r>
          </w:p>
        </w:tc>
        <w:tc>
          <w:tcPr>
            <w:tcW w:type="dxa" w:w="1417"/>
          </w:tcPr>
          <w:p>
            <w:r/>
            <w:r>
              <w:rPr>
                <w:sz w:val="16"/>
              </w:rPr>
              <w:t>Circuito aberto na carga (carga rompida)</w:t>
            </w:r>
          </w:p>
        </w:tc>
        <w:tc>
          <w:tcPr>
            <w:tcW w:type="dxa" w:w="2835"/>
          </w:tcPr>
          <w:p>
            <w:r/>
            <w:r>
              <w:rPr>
                <w:sz w:val="16"/>
              </w:rPr>
              <w:t>Entre as três correntes de fase, Imáx − Imín &gt; Imáx × limiar de desequilíbrio de carga (Imáx deve exceder 10% da corrente nominal)</w:t>
            </w:r>
          </w:p>
        </w:tc>
        <w:tc>
          <w:tcPr>
            <w:tcW w:type="dxa" w:w="4819"/>
          </w:tcPr>
          <w:p>
            <w:r/>
            <w:r>
              <w:rPr>
                <w:sz w:val="16"/>
              </w:rPr>
              <w:t>1. Verifique se a carga está conectada de forma confiável ao regulador. 2. Se a corrente nominal da carga for muito inferior à corrente nominal do regulador, reduza o ajuste de corrente nominal para cerca de 1,2 × a corrente nominal da carga. 3. Verifique se o limiar F-045 está definido muito baixo (padrão: 70%).</w:t>
            </w:r>
          </w:p>
        </w:tc>
      </w:tr>
      <w:tr>
        <w:tc>
          <w:tcPr>
            <w:tcW w:type="dxa" w:w="850"/>
          </w:tcPr>
          <w:p>
            <w:r/>
            <w:r>
              <w:rPr>
                <w:sz w:val="16"/>
              </w:rPr>
              <w:t>E005</w:t>
            </w:r>
          </w:p>
        </w:tc>
        <w:tc>
          <w:tcPr>
            <w:tcW w:type="dxa" w:w="1417"/>
          </w:tcPr>
          <w:p>
            <w:r/>
            <w:r>
              <w:rPr>
                <w:sz w:val="16"/>
              </w:rPr>
              <w:t>Superaquecimento do regulador</w:t>
            </w:r>
          </w:p>
        </w:tc>
        <w:tc>
          <w:tcPr>
            <w:tcW w:type="dxa" w:w="2835"/>
          </w:tcPr>
          <w:p>
            <w:r/>
            <w:r>
              <w:rPr>
                <w:sz w:val="16"/>
              </w:rPr>
              <w:t>Temperatura do dissipador de calor acima de 85 °C</w:t>
            </w:r>
          </w:p>
        </w:tc>
        <w:tc>
          <w:tcPr>
            <w:tcW w:type="dxa" w:w="4819"/>
          </w:tcPr>
          <w:p>
            <w:r/>
            <w:r>
              <w:rPr>
                <w:sz w:val="16"/>
              </w:rPr>
              <w:t>1. Verifique se a temperatura ambiente excede 45 °C. 2. Verifique se o ventilador de refrigeração está danificado. 3. Verifique se o regulador acumulou poeira em excesso. 4. Se instalado em um gabinete, verifique se a capacidade de dissipação de calor do gabinete é suficiente.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Calibri" w:hAnsi="Calibri"/>
          <w:color w:val="E87A00"/>
        </w:rPr>
        <w:t>10. Solução de problemas (Perguntas frequentes)</w:t>
      </w:r>
    </w:p>
    <w:p>
      <w:pPr>
        <w:spacing w:after="60"/>
      </w:pPr>
      <w:r>
        <w:rPr>
          <w:b w:val="0"/>
          <w:sz w:val="20"/>
        </w:rPr>
        <w:t>1. Entrada presente, mas sem saída. Verifique se o regulador tem um alarme ativo; confirme que ele está no estado de funcionamento (indicadores do painel frontal ou parâmetro F-008); verifique se a tensão de entrada do circuito principal está dentro da faixa da placa de identificação; confirme que um sinal de setpoint (analógico ou digital) está de fato sendo enviado ao regulador; e verifique se o tipo do sinal de setpoint está configurado corretamente (parâmetro F-011).</w:t>
      </w:r>
    </w:p>
    <w:p>
      <w:pPr>
        <w:spacing w:after="60"/>
      </w:pPr>
      <w:r>
        <w:rPr>
          <w:b w:val="0"/>
          <w:sz w:val="20"/>
        </w:rPr>
        <w:t>2. Tensão presente, mas sem corrente, ou corrente inconsistente com o valor teórico. Verifique se a carga está conectada de forma confiável ao regulador, se a carga não está danificada, se o método de fiação da carga está correto e se o ajuste de corrente nominal corresponde à placa de identificação.</w:t>
      </w:r>
    </w:p>
    <w:p>
      <w:pPr>
        <w:spacing w:after="60"/>
      </w:pPr>
      <w:r>
        <w:rPr>
          <w:b w:val="0"/>
          <w:sz w:val="20"/>
        </w:rPr>
        <w:t>3. A saída não pode ser ajustada. Verifique a configuração do tipo de sinal de setpoint (F-011); verifique a seleção do tipo de sinal analógico — sinal de corrente vs. tensão (consulte a Seção 7 sobre SW1/SW2 e AI1/AI2); e verifique se a saída está sendo limitada por algum parâmetro (F-015, limite superior de saída, padrão 100%).</w:t>
      </w:r>
    </w:p>
    <w:p>
      <w:pPr>
        <w:spacing w:after="60"/>
      </w:pPr>
      <w:r>
        <w:rPr>
          <w:b w:val="0"/>
          <w:sz w:val="20"/>
        </w:rPr>
        <w:t>4. Como limitar a saída. (a) Use o parâmetro F-015 como um limite geral de saída. Exemplo: com tensão nominal de 380 V e F-015 = 100%, um setpoint de 100% fornece 380 V de saída; com F-015 = 50%, um setpoint de 100% fornece 380 V × 50% = 190 V (a corrente é limitada da mesma forma). (b) Alternativamente, reduza os ajustes de corrente nominal (F-049) ou de tensão nominal (F-048). Exemplo: com tensão nominal de 380 V e corrente nominal de 50 A, defina a corrente nominal como 30 A para limitar a corrente a 30 A.</w:t>
      </w:r>
    </w:p>
    <w:p>
      <w:pPr>
        <w:spacing w:after="60"/>
      </w:pPr>
      <w:r>
        <w:rPr>
          <w:b/>
          <w:sz w:val="20"/>
        </w:rPr>
        <w:t>Nota: nunca defina a tensão ou a corrente nominal acima dos valores da placa de identificação.</w:t>
      </w:r>
    </w:p>
    <w:p>
      <w:pPr>
        <w:spacing w:after="60"/>
      </w:pPr>
      <w:r>
        <w:rPr>
          <w:b w:val="0"/>
          <w:sz w:val="20"/>
        </w:rPr>
        <w:t>5. Saída total e incontrolável imediatamente ao ligar. Verifique se o sinal de entrada para o regulador está no máximo; para entrada analógica, verifique se há erros de fiação na entrada de sinal; com a alimentação desligada, meça a resistência entre a entrada e a saída de cada fase — algumas centenas de ohms ou menos sugerem tiristor danificado.</w:t>
      </w:r>
    </w:p>
    <w:p>
      <w:pPr>
        <w:spacing w:after="60"/>
      </w:pPr>
      <w:r>
        <w:rPr>
          <w:b w:val="0"/>
          <w:sz w:val="20"/>
        </w:rPr>
        <w:t>6. Problemas de comunicação. O regulador suporta os códigos de função Modbus 03, 04, 06 e 16. Padrões: endereço de escravo 2, taxa de transmissão 9600, formato de dados 8E1 (alteráveis via F-035/F-036/F-037; é necessário um ciclo de desligamento e religamento da alimentação para que as alterações tenham efeito). Os valores são inteiros de 16 bits sem sinal, sem pontos decimais — multiplique por 10 quando a resolução for 0,1 (por exemplo, escreva 155 para 15,5). Os endereços de registrador do mestre começam em 1, portanto adicione 1 ao número do registrador (F-004 → registrador 5 no mestre). Cada quadro é limitado a 10 bytes, ou seja, no máximo 5 parâmetros por leitura.</w:t>
      </w:r>
    </w:p>
    <w:p>
      <w:pPr>
        <w:spacing w:after="60"/>
      </w:pPr>
      <w:r>
        <w:rPr>
          <w:b w:val="0"/>
          <w:sz w:val="20"/>
        </w:rPr>
        <w:t>7. Funções de SW1/SW2 e AI1/AI2. SW1 é, por padrão, o sinal de partida/parada e pode ser conectado a um botão de pressão externo. SW2 seleciona o canal analógico ativo: SW2–GND aberto → AI1 (sinal de corrente: 0–20 mA / 4–20 mA / inclinação combinada, conforme F-012); SW2–GND fechado → AI2 (sinal de tensão: 0–5 V / 0–10 V, conforme F-033). Para controle por potenciômetro, selecione AI2 e conecte o cursor a AI2, com os dois terminais restantes a P+ e GND.</w:t>
      </w:r>
    </w:p>
    <w:p>
      <w:pPr>
        <w:pStyle w:val="Heading1"/>
      </w:pPr>
      <w:r>
        <w:rPr>
          <w:rFonts w:ascii="Calibri" w:hAnsi="Calibri"/>
          <w:color w:val="E87A00"/>
        </w:rPr>
        <w:t>11. Manutenção e cuidados</w:t>
      </w:r>
    </w:p>
    <w:p>
      <w:pPr>
        <w:spacing w:after="80"/>
      </w:pPr>
      <w:r>
        <w:rPr>
          <w:b w:val="0"/>
          <w:sz w:val="20"/>
        </w:rPr>
        <w:t>A temperatura ambiente, a umidade, a poeira, a vibração e o envelhecimento dos componentes internos podem levar à falha do dispositivo ao longo do tempo. Realize inspeção e manutenção periódicas a cada 3–6 meses, dependendo das condições do local:</w:t>
      </w:r>
    </w:p>
    <w:p>
      <w:pPr>
        <w:spacing w:after="40"/>
      </w:pPr>
      <w:r>
        <w:rPr>
          <w:b w:val="0"/>
          <w:sz w:val="20"/>
        </w:rPr>
        <w:t>1. Verifique se as conexões dos terminais do circuito principal estão firmes.</w:t>
      </w:r>
    </w:p>
    <w:p>
      <w:pPr>
        <w:spacing w:after="40"/>
      </w:pPr>
      <w:r>
        <w:rPr>
          <w:b w:val="0"/>
          <w:sz w:val="20"/>
        </w:rPr>
        <w:t>2. Limpe completamente a poeira das placas de circuito, dutos de ar e ventiladores de refrigeração.</w:t>
      </w:r>
    </w:p>
    <w:p>
      <w:pPr>
        <w:spacing w:after="40"/>
      </w:pPr>
      <w:r>
        <w:rPr>
          <w:b w:val="0"/>
          <w:sz w:val="20"/>
        </w:rPr>
        <w:t>3. Se o regulador ficar fora de serviço por um período prolongado, ligue-o pelo menos uma vez a cada 3 meses.</w:t>
      </w:r>
    </w:p>
    <w:p>
      <w:pPr>
        <w:spacing w:after="40"/>
      </w:pPr>
      <w:r>
        <w:rPr>
          <w:b w:val="0"/>
          <w:sz w:val="20"/>
        </w:rPr>
        <w:t>4. Armazene o dispositivo longe de altas temperaturas, umidade e poeira metálica.</w:t>
      </w:r>
    </w:p>
    <w:p>
      <w:pPr>
        <w:spacing w:after="80"/>
      </w:pPr>
      <w:r>
        <w:rPr>
          <w:b w:val="0"/>
          <w:sz w:val="20"/>
        </w:rPr>
        <w:t>Para serviços de reparo ou peças de reposição, entre em contato com o serviço de pós-venda da PIDMaxwell.</w:t>
      </w:r>
    </w:p>
    <w:p>
      <w:pPr>
        <w:spacing w:before="240"/>
      </w:pPr>
    </w:p>
    <w:p>
      <w:pPr>
        <w:jc w:val="center"/>
      </w:pPr>
      <w:r>
        <w:rPr>
          <w:b/>
          <w:color w:val="E87A00"/>
          <w:sz w:val="18"/>
        </w:rPr>
        <w:t>www.maxwell-fa.com    |    sales@maxwell-fa.com    |    Tel./Fax: +86-592-6382791</w:t>
      </w:r>
    </w:p>
    <w:sectPr w:rsidR="00FC693F" w:rsidRPr="0006063C" w:rsidSect="00034616">
      <w:footerReference w:type="default" r:id="rId17"/>
      <w:headerReference w:type="default" r:id="rId18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999999"/>
        <w:sz w:val="16"/>
      </w:rPr>
      <w:t>www.maxwell-fa.com    |    sales@maxwell-fa.com    |    Tel./Fax: +86-592-6382791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E87A00"/>
        <w:sz w:val="18"/>
      </w:rPr>
      <w:t>MW30L — Regulador de potência SCR trifásico inteligente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footer" Target="footer1.xml"/><Relationship Id="rId1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